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5-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w:anchor="gjdgxs">
        <w:r w:rsidDel="00000000" w:rsidR="00000000" w:rsidRPr="00000000">
          <w:rPr>
            <w:rtl w:val="0"/>
          </w:rPr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1 5-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ב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/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0j0zll">
        <w:r w:rsidDel="00000000" w:rsidR="00000000" w:rsidRPr="00000000">
          <w:rPr>
            <w:rtl w:val="0"/>
          </w:rPr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1.1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כל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המיומנויות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לגילי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5-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fob9te">
        <w:r w:rsidDel="00000000" w:rsidR="00000000" w:rsidRPr="00000000">
          <w:rPr>
            <w:rtl w:val="0"/>
          </w:rPr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1.1.1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znysh7">
        <w:r w:rsidDel="00000000" w:rsidR="00000000" w:rsidRPr="00000000">
          <w:rPr>
            <w:rtl w:val="0"/>
          </w:rPr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1.1.2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et92p0">
        <w:r w:rsidDel="00000000" w:rsidR="00000000" w:rsidRPr="00000000">
          <w:rPr>
            <w:rtl w:val="0"/>
          </w:rPr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1.1.3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tyjcwt">
        <w:r w:rsidDel="00000000" w:rsidR="00000000" w:rsidRPr="00000000">
          <w:rPr>
            <w:rtl w:val="0"/>
          </w:rPr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1.1.4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אתיקה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ומוגנות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למניעת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פגיעה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באחרים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מפרסום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מישהו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לדיווח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עקבות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משאיר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ממסירת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נוזקות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בכניסה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ידוע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יוצרים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מהעתקה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מהפצה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קרדיט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ומבלי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רשות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הדיגיטלית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האיכות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האמינות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זיהוי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הנמסר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לקיומן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רמאויות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רווחות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שנמסר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מושפע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מהמדיום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ההצגה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להתמצא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מאפייני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ויקיפדיה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יוטיוב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ולגלוש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מולטימדיה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לקדם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יעיל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אופנויות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טקסטואלית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קולית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חזותית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סטילס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לערוך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לתמונה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איור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לגודל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ולעימוד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הפריטים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שיתופיות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שותפים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פוטנציאליים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מגוונים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בהקשרי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ופנאי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הממשית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ההתבטאות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וההצגה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ומקצועיים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והנימה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ולנמען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חלק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ביצירה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ונתונים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סינכרוני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ואסינכרוני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שדן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מילולי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חזותי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ביישומים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ובממשקים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מעבד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תמלילים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כתיבת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בהקלדה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בסמן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בכפתור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בטל</w:t>
            </w:r>
            <w:r w:rsidDel="00000000" w:rsidR="00000000" w:rsidRPr="00000000">
              <w:rPr>
                <w:rtl w:val="1"/>
              </w:rPr>
              <w:t xml:space="preserve">";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גופן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גודל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צבע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הדגשה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תחתון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יישור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מרווח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חדשה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עריכת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גזירה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העתקה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הדבקה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מחיקה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פריסת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עמוד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כיוון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אורך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רוחב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הוספה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מתיקייה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שילובה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אובייקט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גלישת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בסביבות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ובענן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בהתנהלות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השוטפת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לערוך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התאמות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בחירת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בחירת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אווטר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איתור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פתיחה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סגירה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שמירה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בשולחן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וסיסמה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בסרגלי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הניווט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בדפדפן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לפתוח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לצפות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נבחרים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ולבצען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מתצוגה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ולתפעל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עדכניים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ומותאמים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לגילן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–</w:t>
            </w:r>
            <w:r w:rsidDel="00000000" w:rsidR="00000000" w:rsidRPr="00000000">
              <w:rPr>
                <w:rtl w:val="1"/>
              </w:rPr>
              <w:t xml:space="preserve">הדלקה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וכיבוי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חלונות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פתיחה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סגירה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הקטנה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טאבלט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הדלקה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כיבוי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הכרת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מקלדת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וירטואלית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ולתפעל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מוצרי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היקפיים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הכרת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המקלדת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מקשי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מיוחדים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הסמן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גלילה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עכבר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שמאלי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ימני</w:t>
            </w:r>
            <w:r w:rsidDel="00000000" w:rsidR="00000000" w:rsidRPr="00000000">
              <w:rPr>
                <w:rtl w:val="1"/>
              </w:rPr>
              <w:t xml:space="preserve">;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שמע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תפעול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רמקול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אוזניות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מיקרופון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לתפעל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מותאמות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המשלבות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המשלבות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,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צפייה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אקדמיה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בסיסיות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לרשת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לפתרונן</w:t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5B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33400" cy="571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– </w:t>
          </w:r>
          <w:r w:rsidDel="00000000" w:rsidR="00000000" w:rsidRPr="00000000">
            <w:rPr>
              <w:rtl w:val="1"/>
            </w:rPr>
            <w:t xml:space="preserve">מארז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תכנון</w:t>
          </w:r>
          <w:r w:rsidDel="00000000" w:rsidR="00000000" w:rsidRPr="00000000">
            <w:rPr>
              <w:rtl w:val="1"/>
            </w:rPr>
            <w:t xml:space="preserve">, </w:t>
          </w:r>
          <w:r w:rsidDel="00000000" w:rsidR="00000000" w:rsidRPr="00000000">
            <w:rPr>
              <w:rtl w:val="1"/>
            </w:rPr>
            <w:t xml:space="preserve">ניהול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והיערכות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תשפ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84200" cy="698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