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ביקורתית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הטלת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ספק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לחשוב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סמכות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וקבוצת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השווים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לתהות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הצדקה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עמדות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החלטות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וטענות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ולשאול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מערערות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טוען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סמכא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מדובר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בהסבר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ביותר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בהינתן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הראיות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שיפוט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להימנע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מגיבוש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עמדה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לבירור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ההצדקות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למציאת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משכנעים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להגיב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רציונלי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למחלוקות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תיאורטיות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ומעשיות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צניעות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ראויה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למחלוקת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המשקל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הראוי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במערך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השיקולים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בהתבסס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הפלוגתא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הנחותיהן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והנתונים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שבידיהן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מומחיותן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חוכמתן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וכיו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ב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המתאימים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בחוכמת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ההמונים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נימוקים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לטענות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לעמדות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להסברים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ולהחלטות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שאינם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מאליהם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לבקש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הצדקות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לנימוקים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לטיעונים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ולאפשרויות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שמחלישות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הנימוקים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למסקנה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בחינת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מוסרי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וזיהוי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סמויות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מפוקפקות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הערכת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מידע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ומקורות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מידע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להגדיר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תבחינים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קריטריונים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מתאימים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לבחון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מהימנות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רלוונטיות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ועדכניות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ומקורות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לעמדות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לעובדות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תעמולה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דמגוגיה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ומניפולציות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להגדיר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תבחינים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ולצרכים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המשתנים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בזריזות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אינדיקציות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ותוכניות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אמינות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ואג</w:t>
            </w:r>
            <w:r w:rsidDel="00000000" w:rsidR="00000000" w:rsidRPr="00000000">
              <w:rPr>
                <w:rtl w:val="1"/>
              </w:rPr>
              <w:t xml:space="preserve">'</w:t>
            </w:r>
            <w:r w:rsidDel="00000000" w:rsidR="00000000" w:rsidRPr="00000000">
              <w:rPr>
                <w:rtl w:val="1"/>
              </w:rPr>
              <w:t xml:space="preserve">נדות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גופים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מוסדות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ההשפעה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הנמסר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ולדון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בדרכי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ארגון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בשיטות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באופני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הצגת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בהפצתו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ובפרסומו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ולשאול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משפיעים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פוליטיות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כלכליות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ואחרות</w:t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טיעון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לנסח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ולהצדיקה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ההבדל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ביניהם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נובעת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תומכים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וכשלים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לוגיים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בטיעון</w:t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לנסח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מורכבת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הכוללת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הסתייגויות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התניות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ונוגדי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מציאות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אילו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להצדיקה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נימוקים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דוגמאות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ומספקים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להגן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מתחרות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להתנגדויות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ולייצג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פורמלי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חצי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פורמלי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תקפים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במונחים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ודו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משמעיים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בטיעון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השפעתם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חוזק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הטיעון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מובלעות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כשלים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רטוריים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כדוגמת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המבוקש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הומינם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ברירה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כוזבת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חלקלק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אקס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סילנטיו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לנסח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ולהצדיקה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ההבדל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ביניהם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נובעת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תומכים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וכשלים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לוגיים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בטיעון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לנסח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מורכבת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הכוללת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הסתייגויות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התניות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ונוגדי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מציאות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אילו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להצדיקה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נימוקים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דוגמאות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ומספקים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להגן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מתחרות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להתנגדויות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ולייצג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פורמלי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חצי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פורמלי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תקפים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במונחים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ודו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משמעיים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בטיעון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השפעתם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חוזק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הטיעון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מובלעות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כשלים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רטוריים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כדוגמת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המבוקש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הומינם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ברירה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כוזבת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חלקלק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אקס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סילנטיו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קבלת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החלטות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סוגיה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דילמה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נקודות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מבט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להשוות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פתרונות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אפשריים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לשאלה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תיאורטית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התיאורטיות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המעשיות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בכל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מהן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ולנטרל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שיקולים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קדומות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הדורשות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מומחיות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הדורשות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חשיבה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תחומי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מומחיות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ומומחים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ולהבחינם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משרלטנים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בעצות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מושכל</w:t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להשוות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חלופות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דילמה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בהתבסס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משקול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הנימוקים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האישייים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להתנסות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השוואה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והכרעה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 </w:t>
            </w:r>
            <w:r w:rsidDel="00000000" w:rsidR="00000000" w:rsidRPr="00000000">
              <w:rPr>
                <w:rtl w:val="1"/>
              </w:rPr>
              <w:t xml:space="preserve">אימוץ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השפעתן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הבחירה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הצדקתה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לאפיין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שעשויים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לעורר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התערבות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והונאה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ההחלטה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הופעתם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ולנטרל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שגרתי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תפיסתיות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והשפעות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במומחיות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בעולם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לנסות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לאפיין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בשיקול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מומחיותה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פלונית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סוגיה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דילמה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נקודות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מבט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להשוות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פתרונות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אפשריים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לשאלה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תיאורטית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התיאורטיות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המעשיות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בכל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מהן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ולנטרל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שיקולים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קדומות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הדורשות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מומחיות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הדורשות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חשיבה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תחומי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מומחיות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ומומחים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ולהבחינם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משרלטנים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בעצות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מושכל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להשוות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חלופות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דילמה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בהתבסס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משקול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הנימוקים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האישייים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להתנסות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השוואה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והכרעה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 </w:t>
            </w:r>
            <w:r w:rsidDel="00000000" w:rsidR="00000000" w:rsidRPr="00000000">
              <w:rPr>
                <w:rtl w:val="1"/>
              </w:rPr>
              <w:t xml:space="preserve">אימוץ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השפעתן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הבחירה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הצדקתה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לאפיין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שעשויים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לעורר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התערבות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והונאה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ההחלטה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הופעתם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ולנטרל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שגרתי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תפיסתיות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והשפעות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במומחיות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בעולם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לנסות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לאפיין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בשיקול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מומחיותה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פלונית</w:t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