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לשונית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הבנה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איתור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מידע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פרשנות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והיסק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ממקור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בודד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ולאחזר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בטקסט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למטרות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הקריאה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מטרת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הטקסט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הכתוב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רעיונותיו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המרכזיים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לקרוא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רעיונותיו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המרכזיים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מנוקדים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הסוגות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הנלמדות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בגילים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הרלוונטים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וממקומות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לשחזר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רכיבי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הסיבתיות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פרשנות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הגיבורים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ולמצבם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המנטלי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לקשור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לפעול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מורכבות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להתנסות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בקריאה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ההבנה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מטרת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השיח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הנשמע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ולבקש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הסברים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הבהרות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והרחבות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לצורך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מונולוגי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דבור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ומגוונים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הרצאות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ומדעיות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סיפורים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עלילתיים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רב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ממדיים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היבטים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מורכבים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חוסר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הסכמה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חוסר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עקביות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הבהרות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תגובות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והרחבות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ממוקד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הצורך</w:t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הבנה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איתור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מידע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פרשנות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והיסק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ממקורות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מרובים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לפרש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ולהשוות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ממקורות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טקסטואליים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דבורים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וכתובים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לעמוד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מניעי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הגיבורים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סיפוריים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ולהשוות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השתלשלויות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לנסח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מורכבות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שאפשר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פרספקטיבות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מאורגנת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ומאוחדת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אינטגרציה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המופיע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ומידעיים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מגוונים</w:t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הבנה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הערכה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לבחון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ביקורתי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הטקסט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הדבור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הכתוב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לייצג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זוויות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התבוננות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המתוארים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ולחשוב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היפותטית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ואפיסטמית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אפשרויות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נוספות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להסבר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תופעות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וטענות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לייצג</w:t>
            </w:r>
            <w:r w:rsidDel="00000000" w:rsidR="00000000" w:rsidRPr="00000000">
              <w:rPr>
                <w:rtl w:val="1"/>
              </w:rPr>
              <w:t xml:space="preserve">  </w:t>
            </w:r>
            <w:r w:rsidDel="00000000" w:rsidR="00000000" w:rsidRPr="00000000">
              <w:rPr>
                <w:rtl w:val="1"/>
              </w:rPr>
              <w:t xml:space="preserve">קשת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רחבה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ומגוונת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ולהפריד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האדם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ומעמדו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החברתי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דבריו</w:t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הפקה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הבעה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בכתב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להפיק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טקסט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רלוונטי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אינפורמטיבי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ולכיד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קוהרנטי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בהתאמה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לסוגה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למטרות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הכתיבה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ולנמענים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יצירתיות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הולמות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סיפורי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מתוחכם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תפיסה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היפותטית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ועשיר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ציורית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וסגיר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ועשירים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המכיל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כתיבה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פרשנית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ומופשטת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פנימיים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הגיבורים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אפשריים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למעשיהם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מאורגן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תיאורי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השלכות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פתיחים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ולרוב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סגיר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מאורגן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ומופשט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הפורש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המרכזית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בסדרת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מהלכים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רעיונות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ופיתוחם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והמכיל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מופשטת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מנטלית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וציורית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הפגנת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לחשיבות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ההתבטאות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עצמאיים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כמעט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תחום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כהלכה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בסימני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פיסוק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משקפים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הארגון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הטקסט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בכתיב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התמודדות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אתגר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אהו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י</w:t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הפקה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הבעה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בעל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-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פה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להציג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עמדות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בצורה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קולחת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וברורה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בשילוב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אמצעים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רטוריים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למטרה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התקשורתית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ולנמענים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אגב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שימוש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תקשורתי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ובעזרים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הולמים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לנמענים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ומאורגנת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הממוזגים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לעמוד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כהלכה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במסגרת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מראש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ולנמק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לשאוף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להצלחה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בקרב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המאזינים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המטרה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בחלקים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שיסייעו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המאזינים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ולהפנים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אותו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בעלות</w:t>
            </w:r>
            <w:r w:rsidDel="00000000" w:rsidR="00000000" w:rsidRPr="00000000">
              <w:rPr>
                <w:rtl w:val="1"/>
              </w:rPr>
              <w:t xml:space="preserve">" (</w:t>
            </w:r>
            <w:r w:rsidDel="00000000" w:rsidR="00000000" w:rsidRPr="00000000">
              <w:rPr>
                <w:rtl w:val="1"/>
              </w:rPr>
              <w:t xml:space="preserve">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מבוסס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ובהיר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ולהפגין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הדבור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התקשורתיים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המאזינים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ההצגה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לעקוב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תגובות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הנמענים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לתקן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כשלים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רטוריים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מעניינים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  </w:t>
            </w:r>
            <w:r w:rsidDel="00000000" w:rsidR="00000000" w:rsidRPr="00000000">
              <w:rPr>
                <w:rtl w:val="1"/>
              </w:rPr>
              <w:t xml:space="preserve">ליבם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המאזינים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תגובות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להסביר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פרספקטיבות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ולהצדיק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בשיחה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בדיון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למוסכמות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השיח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למשלב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הלשוני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ולמטרות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התקשורת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;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לתאר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מחשבות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רעיונות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רגשות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ועמדות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לנסח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הסברים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לאירועים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ולמצבים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בצורה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וקולחת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לקחת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רחבה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אינטראקטיבי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דבור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פורמליות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בסיטואציות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הלשוני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וברגישות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לתפקידי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לחילופי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ולכוונות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התקשורתיות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להגיב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ליזום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נושאי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במהלך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לזכותו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ליזום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נושאי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לעבור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קונקרטי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הנעשה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באירוע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מופשט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המוקדש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מרוחקים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והיפותטיים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להגיב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הנדונים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מחשבות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רעיונות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לגביהם</w:t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6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