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יב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אוריינות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דיגיטלית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/>
      </w:pP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עניינים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w:anchor="gjdgxs">
        <w:r w:rsidDel="00000000" w:rsidR="00000000" w:rsidRPr="00000000">
          <w:rPr>
            <w:rtl w:val="0"/>
          </w:rPr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1 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י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-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יב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/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דיגיטלית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200" w:hanging="360"/>
      </w:pPr>
      <w:hyperlink w:anchor="30j0zll">
        <w:r w:rsidDel="00000000" w:rsidR="00000000" w:rsidRPr="00000000">
          <w:rPr>
            <w:rtl w:val="0"/>
          </w:rPr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1.1 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כל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המיומנויות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לגילי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י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-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יב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1fob9te">
        <w:r w:rsidDel="00000000" w:rsidR="00000000" w:rsidRPr="00000000">
          <w:rPr>
            <w:rtl w:val="0"/>
          </w:rPr>
        </w:r>
      </w:hyperlink>
      <w:hyperlink w:anchor="1fob9te">
        <w:r w:rsidDel="00000000" w:rsidR="00000000" w:rsidRPr="00000000">
          <w:rPr>
            <w:color w:val="0000ee"/>
            <w:u w:val="single"/>
            <w:rtl w:val="1"/>
          </w:rPr>
          <w:t xml:space="preserve">1.1.1 </w:t>
        </w:r>
      </w:hyperlink>
      <w:hyperlink w:anchor="1fob9te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1fob9te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1fob9te">
        <w:r w:rsidDel="00000000" w:rsidR="00000000" w:rsidRPr="00000000">
          <w:rPr>
            <w:color w:val="0000ee"/>
            <w:u w:val="single"/>
            <w:rtl w:val="1"/>
          </w:rPr>
          <w:t xml:space="preserve">קוגנטיביות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3znysh7">
        <w:r w:rsidDel="00000000" w:rsidR="00000000" w:rsidRPr="00000000">
          <w:rPr>
            <w:rtl w:val="0"/>
          </w:rPr>
        </w:r>
      </w:hyperlink>
      <w:hyperlink w:anchor="3znysh7">
        <w:r w:rsidDel="00000000" w:rsidR="00000000" w:rsidRPr="00000000">
          <w:rPr>
            <w:color w:val="0000ee"/>
            <w:u w:val="single"/>
            <w:rtl w:val="1"/>
          </w:rPr>
          <w:t xml:space="preserve">1.1.2 </w:t>
        </w:r>
      </w:hyperlink>
      <w:hyperlink w:anchor="3znysh7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3znysh7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3znysh7">
        <w:r w:rsidDel="00000000" w:rsidR="00000000" w:rsidRPr="00000000">
          <w:rPr>
            <w:color w:val="0000ee"/>
            <w:u w:val="single"/>
            <w:rtl w:val="1"/>
          </w:rPr>
          <w:t xml:space="preserve">רגשיות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2et92p0">
        <w:r w:rsidDel="00000000" w:rsidR="00000000" w:rsidRPr="00000000">
          <w:rPr>
            <w:rtl w:val="0"/>
          </w:rPr>
        </w:r>
      </w:hyperlink>
      <w:hyperlink w:anchor="2et92p0">
        <w:r w:rsidDel="00000000" w:rsidR="00000000" w:rsidRPr="00000000">
          <w:rPr>
            <w:color w:val="0000ee"/>
            <w:u w:val="single"/>
            <w:rtl w:val="1"/>
          </w:rPr>
          <w:t xml:space="preserve">1.1.3 </w:t>
        </w:r>
      </w:hyperlink>
      <w:hyperlink w:anchor="2et92p0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2et92p0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2et92p0">
        <w:r w:rsidDel="00000000" w:rsidR="00000000" w:rsidRPr="00000000">
          <w:rPr>
            <w:color w:val="0000ee"/>
            <w:u w:val="single"/>
            <w:rtl w:val="1"/>
          </w:rPr>
          <w:t xml:space="preserve">חברתיות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tyjcwt">
        <w:r w:rsidDel="00000000" w:rsidR="00000000" w:rsidRPr="00000000">
          <w:rPr>
            <w:rtl w:val="0"/>
          </w:rPr>
        </w:r>
      </w:hyperlink>
      <w:hyperlink w:anchor="tyjcwt">
        <w:r w:rsidDel="00000000" w:rsidR="00000000" w:rsidRPr="00000000">
          <w:rPr>
            <w:color w:val="0000ee"/>
            <w:u w:val="single"/>
            <w:rtl w:val="1"/>
          </w:rPr>
          <w:t xml:space="preserve">1.1.4 </w:t>
        </w:r>
      </w:hyperlink>
      <w:hyperlink w:anchor="tyjcwt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tyjcwt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tyjcwt">
        <w:r w:rsidDel="00000000" w:rsidR="00000000" w:rsidRPr="00000000">
          <w:rPr>
            <w:color w:val="0000ee"/>
            <w:u w:val="single"/>
            <w:rtl w:val="1"/>
          </w:rPr>
          <w:t xml:space="preserve">גופניות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/>
      </w:pPr>
      <w:r w:rsidDel="00000000" w:rsidR="00000000" w:rsidRPr="00000000">
        <w:rPr>
          <w:rtl w:val="1"/>
        </w:rPr>
        <w:t xml:space="preserve">אתיקה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ומוגנות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אישית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למניעת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פגיעה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באחרים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בהגנה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פרטיות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ולסייע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במקרה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בריונות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רשת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להשפעות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ולהשלכות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עקבות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דיגיטליים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לאיסוף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וחברות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לסכנות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ברשת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ולשמור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כללי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בטיחות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באסטרטגיות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מתקדמות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להתגוננות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ולהימנעות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מצבי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סיכון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ברשת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להכיר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אמצעי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הגנה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מפני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נוזקות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התנהגות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היחיד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משפיעה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משתמשות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להתנהל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ברשת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הגון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ומכבד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להפעיל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ביקורת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עצמית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ולבחור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בנורמות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ובכללי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ההתנהגות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המתאימים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ביותר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ביישומים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שיתופיים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ובתקשורת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מקוונת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שמירה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מכבד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זכויות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יוצרים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ברשת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הגנה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פרטיות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לשמור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זכויות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יוצרים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קניין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רוחני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ולסנגר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advocate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חוקי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בטוח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ואחראי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בטכנולוגיה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ברשת</w:t>
            </w:r>
          </w:p>
        </w:tc>
      </w:tr>
    </w:tbl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/>
      </w:pPr>
      <w:r w:rsidDel="00000000" w:rsidR="00000000" w:rsidRPr="00000000">
        <w:rPr>
          <w:rtl w:val="1"/>
        </w:rPr>
        <w:t xml:space="preserve">צריכה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ויצירה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הדיגיטלית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להעריך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האיכות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האמינות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באמצעי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המדיה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הדיגיטליים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באמצעות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זיהוי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המאפיינים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הנמסר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ספקנות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לגבי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המופץ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הדיגיטליים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נתונים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דיווחים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לבקר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המסרים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המניעים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מוענים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גופים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מוסדות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שעשויים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להשפיע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הנמסר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הצגתו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הבחירה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להשמיט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לבקר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והמסרים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ברשתות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חברתיות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להתמצא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במרחב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המקוון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ולהכיר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מאפייני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המדיה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הדיגיטלית</w:t>
            </w:r>
          </w:p>
        </w:tc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ליצור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תוכן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מולטימדיה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באמצעות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דיגיטליים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שונים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לקדם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תקשורת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בינאישית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וקבוצתית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ולהעביר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יעיל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ומותאם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לצרכים</w:t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/>
      </w:pPr>
      <w:r w:rsidDel="00000000" w:rsidR="00000000" w:rsidRPr="00000000">
        <w:rPr>
          <w:rtl w:val="1"/>
        </w:rPr>
        <w:t xml:space="preserve">שיתופיות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לאתר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שותפים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פוטנציאליים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לצרכים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מגוונים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לבנות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ולנהל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דיגיטלית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בהקשרי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למידה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ופנאי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הקשר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הדיגיטלית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הממשית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להשפעות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ולהשלכות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אופני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ההתבטאות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וההצגה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העצמית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במרחב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הדיגיטלי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להצגה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העצמית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שלהן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אחרות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ברשת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ולפער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עצמית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מקוונת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עצמית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מקוונת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ליצור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ולנהל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קשרים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חברתיים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ומקצועיים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ברשת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במגוון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ערוצים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ולנהל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בהיר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ענייני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ויעיל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המותאם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ולמדיום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הדיגיטלי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אגב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בייצוגי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לשתף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ורעיונות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ולקחת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חלק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ביצירה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שיתופית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באמצעות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שיתופיים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לנהל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ולתחזק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קשרי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ועבודה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שיתופיים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מערכות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תקשורת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בתהליכי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יצירת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בסביבות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בהקשרים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וחוץ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מגוונים</w:t>
            </w:r>
          </w:p>
        </w:tc>
      </w:tr>
    </w:tbl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/>
      </w:pPr>
      <w:r w:rsidDel="00000000" w:rsidR="00000000" w:rsidRPr="00000000">
        <w:rPr>
          <w:rtl w:val="1"/>
        </w:rPr>
        <w:t xml:space="preserve">תפעול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ופתרון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בעיות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ביישומים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דיגיטליים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ובממשקים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שונים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ביישומים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מתקדמים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תחומי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החיים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0"/>
              </w:rPr>
              <w:t xml:space="preserve">Internet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of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things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  <w:t xml:space="preserve">Augmented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Reality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wearable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technology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לשתף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ביישומים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ייעודיים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במרחב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המקוון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לכתוב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באתרים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פתוחים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לציבור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לדוגמה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פוסטים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בבלוגים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עריכה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מונחית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באתרי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ויקי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לכללים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הנהוגים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לנהל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הרשאות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משתמשים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באתרים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שיתופיים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לדוגמה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הגדרת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הרשאות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תיוג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משתתפים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מקוון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בשיעור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מרחוק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ולשוחח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סינכרונית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לכללים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ביעילות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בסביבות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ובענן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בהתנהלות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השוטפת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לעבוד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יעיל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בסביבת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ענן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לדוגמה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לשמור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לשתף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קבצים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בדרגות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שיתוף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לשחזר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קבצים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לייצר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זמינות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גבוהה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וקבצים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דפדפנים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ולהפעילם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ביעילות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לתפעל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ממשקים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לשיחות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וידיאו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מרובות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משתתפים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במגוון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רכיבי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חומרה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ותוכנות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במיומנויות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תפעול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טכנולוגיות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טכנולוגיים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חדשים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בקביעות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עזר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להתקנים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ממוחשבים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מקרן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מדפסת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סורק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אוזניות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מיקרופון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אחסון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נייד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מחשוב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לביש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לתפעל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מערכות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הפעלה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כולל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התקנת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תוכנות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ויישומים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עדכון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תוכנות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גיבוי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קבצים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והגנה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חומרה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ותוכנה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ללמוד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עצמאי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ברשת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ולתכנן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חקר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עצמאי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יתרונות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כמקור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מגבלותיה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וסכנותיה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לפתור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בסיסיות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ברכיבי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חומרה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ובתוכנות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להעריך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טכניות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בתפעול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מכשירים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בסביבות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ולבחור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המתאימות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ביותר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לפתרונן</w:t>
            </w:r>
          </w:p>
        </w:tc>
      </w:tr>
    </w:tbl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pageBreakBefore w:val="0"/>
      <w:bidi w:val="1"/>
      <w:jc w:val="center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6"/>
      <w:bidiVisual w:val="1"/>
      <w:tblW w:w="936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360"/>
      <w:tblGridChange w:id="0">
        <w:tblGrid>
          <w:gridCol w:w="936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b589a" w:space="0" w:sz="24" w:val="single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A">
          <w:pPr>
            <w:pageBreakBefore w:val="0"/>
            <w:bidi w:val="1"/>
            <w:jc w:val="right"/>
            <w:rPr/>
          </w:pPr>
          <w:r w:rsidDel="00000000" w:rsidR="00000000" w:rsidRPr="00000000">
            <w:rPr>
              <w:b w:val="1"/>
              <w:bCs w:val="1"/>
              <w:rtl w:val="1"/>
            </w:rPr>
            <w:t xml:space="preserve">עמוד</w:t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rtl w:val="1"/>
            </w:rPr>
            <w:t xml:space="preserve">מתוך</w:t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/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rtl w:val="1"/>
            </w:rPr>
            <w:t xml:space="preserve">עמודים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b589a" w:space="0" w:sz="24" w:val="single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B">
          <w:pPr>
            <w:pageBreakBefore w:val="0"/>
            <w:bidi w:val="1"/>
            <w:jc w:val="center"/>
            <w:rPr/>
          </w:pPr>
          <w:r w:rsidDel="00000000" w:rsidR="00000000" w:rsidRPr="00000000">
            <w:rPr>
              <w:rtl w:val="1"/>
            </w:rPr>
            <w:t xml:space="preserve">רח</w:t>
          </w:r>
          <w:r w:rsidDel="00000000" w:rsidR="00000000" w:rsidRPr="00000000">
            <w:rPr>
              <w:rtl w:val="1"/>
            </w:rPr>
            <w:t xml:space="preserve">' </w:t>
          </w:r>
          <w:r w:rsidDel="00000000" w:rsidR="00000000" w:rsidRPr="00000000">
            <w:rPr>
              <w:rtl w:val="1"/>
            </w:rPr>
            <w:t xml:space="preserve">שבטי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ישראל</w:t>
          </w:r>
          <w:r w:rsidDel="00000000" w:rsidR="00000000" w:rsidRPr="00000000">
            <w:rPr>
              <w:rtl w:val="1"/>
            </w:rPr>
            <w:t xml:space="preserve"> 29 </w:t>
          </w:r>
          <w:r w:rsidDel="00000000" w:rsidR="00000000" w:rsidRPr="00000000">
            <w:rPr>
              <w:rtl w:val="1"/>
            </w:rPr>
            <w:t xml:space="preserve">ירושלים</w:t>
          </w:r>
          <w:r w:rsidDel="00000000" w:rsidR="00000000" w:rsidRPr="00000000">
            <w:rPr>
              <w:rtl w:val="1"/>
            </w:rPr>
            <w:t xml:space="preserve"> 91911 , </w:t>
          </w:r>
          <w:r w:rsidDel="00000000" w:rsidR="00000000" w:rsidRPr="00000000">
            <w:rPr>
              <w:rtl w:val="1"/>
            </w:rPr>
            <w:t xml:space="preserve">טלפון</w:t>
          </w:r>
          <w:r w:rsidDel="00000000" w:rsidR="00000000" w:rsidRPr="00000000">
            <w:rPr>
              <w:rtl w:val="1"/>
            </w:rPr>
            <w:t xml:space="preserve">: 02-5602551  , </w:t>
          </w:r>
          <w:r w:rsidDel="00000000" w:rsidR="00000000" w:rsidRPr="00000000">
            <w:rPr>
              <w:rtl w:val="1"/>
            </w:rPr>
            <w:t xml:space="preserve">פקס</w:t>
          </w:r>
          <w:r w:rsidDel="00000000" w:rsidR="00000000" w:rsidRPr="00000000">
            <w:rPr>
              <w:rtl w:val="1"/>
            </w:rPr>
            <w:t xml:space="preserve">: 02-5602590 </w:t>
          </w:r>
        </w:p>
        <w:p w:rsidR="00000000" w:rsidDel="00000000" w:rsidP="00000000" w:rsidRDefault="00000000" w:rsidRPr="00000000" w14:paraId="0000005C">
          <w:pPr>
            <w:pageBreakBefore w:val="0"/>
            <w:bidi w:val="1"/>
            <w:jc w:val="center"/>
            <w:rPr/>
          </w:pPr>
          <w:r w:rsidDel="00000000" w:rsidR="00000000" w:rsidRPr="00000000">
            <w:rPr>
              <w:rtl w:val="1"/>
            </w:rPr>
            <w:t xml:space="preserve">מתוך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אתר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מתנ</w:t>
          </w:r>
          <w:r w:rsidDel="00000000" w:rsidR="00000000" w:rsidRPr="00000000">
            <w:rPr>
              <w:rtl w:val="1"/>
            </w:rPr>
            <w:t xml:space="preserve">"</w:t>
          </w:r>
          <w:r w:rsidDel="00000000" w:rsidR="00000000" w:rsidRPr="00000000">
            <w:rPr>
              <w:rtl w:val="1"/>
            </w:rPr>
            <w:t xml:space="preserve">ה</w:t>
          </w:r>
          <w:r w:rsidDel="00000000" w:rsidR="00000000" w:rsidRPr="00000000">
            <w:rPr>
              <w:rtl w:val="1"/>
            </w:rPr>
            <w:t xml:space="preserve"> </w:t>
          </w:r>
          <w:hyperlink r:id="rId1">
            <w:r w:rsidDel="00000000" w:rsidR="00000000" w:rsidRPr="00000000">
              <w:rPr>
                <w:b w:val="1"/>
                <w:bCs w:val="1"/>
                <w:color w:val="0000ff"/>
                <w:u w:val="single"/>
                <w:rtl w:val="0"/>
              </w:rPr>
              <w:t xml:space="preserve">matana.education.gov.il</w:t>
            </w:r>
          </w:hyperlink>
          <w:r w:rsidDel="00000000" w:rsidR="00000000" w:rsidRPr="00000000">
            <w:rPr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rtl w:val="0"/>
            </w:rPr>
            <w:t xml:space="preserve">|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אתר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המשרד</w:t>
          </w:r>
          <w:r w:rsidDel="00000000" w:rsidR="00000000" w:rsidRPr="00000000">
            <w:rPr>
              <w:rtl w:val="1"/>
            </w:rPr>
            <w:t xml:space="preserve"> </w:t>
          </w:r>
          <w:hyperlink r:id="rId2">
            <w:r w:rsidDel="00000000" w:rsidR="00000000" w:rsidRPr="00000000">
              <w:rPr>
                <w:b w:val="1"/>
                <w:bCs w:val="1"/>
                <w:color w:val="0000ff"/>
                <w:u w:val="single"/>
                <w:rtl w:val="0"/>
              </w:rPr>
              <w:t xml:space="preserve">www.edu.gov.il</w:t>
            </w:r>
          </w:hyperlink>
          <w:r w:rsidDel="00000000" w:rsidR="00000000" w:rsidRPr="00000000">
            <w:rPr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pageBreakBefore w:val="0"/>
      <w:bidi w:val="1"/>
      <w:jc w:val="center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5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533400" cy="57150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center"/>
            <w:rPr/>
          </w:pPr>
          <w:r w:rsidDel="00000000" w:rsidR="00000000" w:rsidRPr="00000000">
            <w:rPr>
              <w:rtl w:val="1"/>
            </w:rPr>
            <w:t xml:space="preserve">מתנ</w:t>
          </w:r>
          <w:r w:rsidDel="00000000" w:rsidR="00000000" w:rsidRPr="00000000">
            <w:rPr>
              <w:rtl w:val="1"/>
            </w:rPr>
            <w:t xml:space="preserve">"</w:t>
          </w:r>
          <w:r w:rsidDel="00000000" w:rsidR="00000000" w:rsidRPr="00000000">
            <w:rPr>
              <w:rtl w:val="1"/>
            </w:rPr>
            <w:t xml:space="preserve">ה</w:t>
          </w:r>
          <w:r w:rsidDel="00000000" w:rsidR="00000000" w:rsidRPr="00000000">
            <w:rPr>
              <w:rtl w:val="1"/>
            </w:rPr>
            <w:t xml:space="preserve"> – </w:t>
          </w:r>
          <w:r w:rsidDel="00000000" w:rsidR="00000000" w:rsidRPr="00000000">
            <w:rPr>
              <w:rtl w:val="1"/>
            </w:rPr>
            <w:t xml:space="preserve">מארז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תכנון</w:t>
          </w:r>
          <w:r w:rsidDel="00000000" w:rsidR="00000000" w:rsidRPr="00000000">
            <w:rPr>
              <w:rtl w:val="1"/>
            </w:rPr>
            <w:t xml:space="preserve">, </w:t>
          </w:r>
          <w:r w:rsidDel="00000000" w:rsidR="00000000" w:rsidRPr="00000000">
            <w:rPr>
              <w:rtl w:val="1"/>
            </w:rPr>
            <w:t xml:space="preserve">ניהול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והיערכות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תשפ</w:t>
          </w:r>
          <w:r w:rsidDel="00000000" w:rsidR="00000000" w:rsidRPr="00000000">
            <w:rPr>
              <w:rtl w:val="1"/>
            </w:rPr>
            <w:t xml:space="preserve">"</w:t>
          </w:r>
          <w:r w:rsidDel="00000000" w:rsidR="00000000" w:rsidRPr="00000000">
            <w:rPr>
              <w:rtl w:val="1"/>
            </w:rPr>
            <w:t xml:space="preserve">א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righ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584200" cy="6985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00" cy="698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matana.education.gov.il" TargetMode="External"/><Relationship Id="rId2" Type="http://schemas.openxmlformats.org/officeDocument/2006/relationships/hyperlink" Target="http://www.edu.gov.il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