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גלובלית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אחריות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גלובלית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ההיבטים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החיוניים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המקיימים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פיזי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זמן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הגומלין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תהליכים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ומהלכים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סביבתיים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וכלכליים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לוקליים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הגלובליים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ואכפתיות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הלוקלית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והגלובלית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לאמץ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אורח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ולפעול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לשינוי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גלובליות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האקלים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צורכי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הכלכלה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והסביבה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התנהלות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רב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תרבותית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להתייחס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בכבוד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ולנורמות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הנהוגות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לתקשר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חיובי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להפגין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לחוויה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הרגשות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המחשבות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ההתנהגות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המתעוררת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מפגשים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מרקעים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וליישב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קונפליקטים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הנובעים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מפערים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לשוחח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ולהקשיב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הייחודיים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המאתגרים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המכבדות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התרבותי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להישמע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לרב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לשוניות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תחושת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שייכות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פרשנות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ומסרים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מודעות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גלובלית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לבקר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סטריאוטיפים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והכללות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מתנהגים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משתייכים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לצמצום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קדומות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וסטריאוטיפים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הסטריאוטיפים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התפיסות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הבחירות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השקפות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עולם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מרקעים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סקרנות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פתיחות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ואמפתיה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התרבויות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המעמדות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האידאולוגיות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התפיסות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הבחירות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ההתנהגות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הכאב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אמפתיה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ולנוכח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ההיסטוריה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קונפליקט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