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הטלת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ספק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לחשוב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סמכות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וקבוצת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השווים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לתהות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הצדקה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החלטות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וטענות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ולשאול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מערערות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טוען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סמכא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מדובר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בהסבר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ביותר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בהינתן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הראיות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שיפוט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להימנע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מגיבוש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עמדה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לבירור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ההצדקות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למציאת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משכנעים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לגבש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תיאורטיים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מעשיים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חשובים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ורגישים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לנטרל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ההשפעה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עניינית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דעותיהם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ובחירותיהם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לטענות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לעמדות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להסברים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מאליהם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הצדקות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בירור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הטענות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העמדות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ההסברים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החלופיים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הערכת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מידע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ומקורות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מידע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להגדיר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תבחינים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קריטריונים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מתאימים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לבחון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מהימנות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רלוונטיות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ועדכניות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לעובדות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תעמולה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דמגוגיה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ומניפולציות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להגדיר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תבחינים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למשימה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ראשוני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לעומת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משני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מדעי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אקדמי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דיווח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עיתונאי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מאמרי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דעה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מסמכי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מדיניות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והתרבותיים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מוסווים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דמגוגיה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ומניפולציות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המסורתיים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והדיגיטליים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הייצוג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המשפיעות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ותפיסות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ולתארן</w:t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טיעון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לנסח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ולהצדיקה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ההבדל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ביניהם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נובעת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תומכים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וכשלים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לוגיים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בטיעון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הכוללת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הסתייגויות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נוגדי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מציאות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אילו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להצדיקה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דוגמאות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ומספקים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המסקנה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נובעת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מההנחות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המסקנה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נתמכת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ההנחות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המסקנה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לנוכח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ההנחות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ההצדקה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מספקות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לרלוונטיות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תקפים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הרישא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הסיפא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וכשלים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פזיזה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הסקת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סיבתיות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ממתאם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ההרכבה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נטורליסטי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לנסח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ולהצדיקה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ההבדל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ביניהם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נובעת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הנימוקים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תומכים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בטענה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וכשלים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לוגיים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בטיעון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הכוללת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הסתייגויות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נוגדי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מציאות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אילו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להצדיקה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דוגמאות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וראיות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ומספקים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מתחרות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המסקנה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נובעת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מההנחות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המסקנה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נתמכת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ההנחות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המסקנה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לנוכח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ההנחות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ההצדקה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מספקות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לרלוונטיות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תקפים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הרישא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הסיפא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וכשלים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טיעוניים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נפוצים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פזיזה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הסקת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סיבתיות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ממתאם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ההרכבה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נטורליסטי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קבלת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החלטות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סוגיה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דילמה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נקודות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מבט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להשוות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פתרונות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אפשריים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לשאלה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תיאורטית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התיאורטיות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המעשיות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מהן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ולנטרל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שיקולים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קדומות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הדורשות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מומחיות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הדורשות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חשיבה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תחומי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מומחיות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ומומחים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ולהבחינם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משרלטנים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בעצות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מושכל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לשקול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חלופות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דילמה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ההשלכות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המיידיות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וארוכות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הטווח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התיאורטיות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והמעשיות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להגיע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להכרעה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לנמק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ולהצדיק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ההכרעה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בהתבסס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תבחינים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להשוואה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להשפעה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דעות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העדפות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ערכיות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משפיעות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המשקל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ונגד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מהחלופות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הבעיה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בהשפעות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חיצוניות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ההכרעה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לתופעת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ההונאה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העצמית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ולעיתים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ובעצמן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הטיית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הייצוג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הטיית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העיגון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המהמר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רפלקסיה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לחשב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מסלול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מחדש</w:t>
            </w:r>
            <w:r w:rsidDel="00000000" w:rsidR="00000000" w:rsidRPr="00000000">
              <w:rPr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המבחינים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מומחיות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להתחזות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לנתח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סוגיה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דילמה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נקודות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מבט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להשוות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פתרונות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אפשריים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לשאלה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תיאורטית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התיאורטיות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המעשיות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מהן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ולנטרל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שיקולים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קדומות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הדורשות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מומחיות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שאלות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וסוגיות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הדורשות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חשיבה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תחומי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מומחיות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ומומחים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ולהבחינם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משרלטנים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בעצות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מושכל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לשקול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חלופות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דילמה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ההשלכות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המיידיות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וארוכות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הטווח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התיאורטיות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והמעשיות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להגיע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להכרעה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לנמק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ולהצדיק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ההכרעה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בהתבסס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תבחינים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להשוואה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להשפעה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דעות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העדפות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ערכיות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משפיעות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המשקל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נימוק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ונגד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מהחלופות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הבעיה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בהשפעות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חיצוניות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ההכרעה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לתופעת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ההונאה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העצמית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ולעיתים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ובעצמן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הטיית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הייצוג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הטיית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העיגון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המהמר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רפלקסיה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התהליך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לחשב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מסלול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מחדש</w:t>
            </w:r>
            <w:r w:rsidDel="00000000" w:rsidR="00000000" w:rsidRPr="00000000">
              <w:rPr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המבחינים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מומחיות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להתחזות</w:t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b589a" w:space="0" w:sz="24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C">
          <w:pPr>
            <w:pageBreakBefore w:val="0"/>
            <w:bidi w:val="1"/>
            <w:jc w:val="right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עמוד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מתוך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עמודים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b589a" w:space="0" w:sz="24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D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רח</w:t>
          </w:r>
          <w:r w:rsidDel="00000000" w:rsidR="00000000" w:rsidRPr="00000000">
            <w:rPr>
              <w:rtl w:val="1"/>
            </w:rPr>
            <w:t xml:space="preserve">' </w:t>
          </w:r>
          <w:r w:rsidDel="00000000" w:rsidR="00000000" w:rsidRPr="00000000">
            <w:rPr>
              <w:rtl w:val="1"/>
            </w:rPr>
            <w:t xml:space="preserve">שבטי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ישראל</w:t>
          </w:r>
          <w:r w:rsidDel="00000000" w:rsidR="00000000" w:rsidRPr="00000000">
            <w:rPr>
              <w:rtl w:val="1"/>
            </w:rPr>
            <w:t xml:space="preserve"> 29 </w:t>
          </w:r>
          <w:r w:rsidDel="00000000" w:rsidR="00000000" w:rsidRPr="00000000">
            <w:rPr>
              <w:rtl w:val="1"/>
            </w:rPr>
            <w:t xml:space="preserve">ירושלים</w:t>
          </w:r>
          <w:r w:rsidDel="00000000" w:rsidR="00000000" w:rsidRPr="00000000">
            <w:rPr>
              <w:rtl w:val="1"/>
            </w:rPr>
            <w:t xml:space="preserve"> 91911 , </w:t>
          </w:r>
          <w:r w:rsidDel="00000000" w:rsidR="00000000" w:rsidRPr="00000000">
            <w:rPr>
              <w:rtl w:val="1"/>
            </w:rPr>
            <w:t xml:space="preserve">טלפון</w:t>
          </w:r>
          <w:r w:rsidDel="00000000" w:rsidR="00000000" w:rsidRPr="00000000">
            <w:rPr>
              <w:rtl w:val="1"/>
            </w:rPr>
            <w:t xml:space="preserve">: 02-5602551  , </w:t>
          </w:r>
          <w:r w:rsidDel="00000000" w:rsidR="00000000" w:rsidRPr="00000000">
            <w:rPr>
              <w:rtl w:val="1"/>
            </w:rPr>
            <w:t xml:space="preserve">פקס</w:t>
          </w:r>
          <w:r w:rsidDel="00000000" w:rsidR="00000000" w:rsidRPr="00000000">
            <w:rPr>
              <w:rtl w:val="1"/>
            </w:rPr>
            <w:t xml:space="preserve">: 02-5602590 </w:t>
          </w:r>
        </w:p>
        <w:p w:rsidR="00000000" w:rsidDel="00000000" w:rsidP="00000000" w:rsidRDefault="00000000" w:rsidRPr="00000000" w14:paraId="0000004E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מתוך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</w:t>
          </w:r>
          <w:hyperlink r:id="rId1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matana.education.gov.il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rtl w:val="0"/>
            </w:rPr>
            <w:t xml:space="preserve">|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המשרד</w:t>
          </w:r>
          <w:r w:rsidDel="00000000" w:rsidR="00000000" w:rsidRPr="00000000">
            <w:rPr>
              <w:rtl w:val="1"/>
            </w:rPr>
            <w:t xml:space="preserve"> </w:t>
          </w:r>
          <w:hyperlink r:id="rId2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www.edu.gov.il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33400" cy="5715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– </w:t>
          </w:r>
          <w:r w:rsidDel="00000000" w:rsidR="00000000" w:rsidRPr="00000000">
            <w:rPr>
              <w:rtl w:val="1"/>
            </w:rPr>
            <w:t xml:space="preserve">מארז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תכנון</w:t>
          </w:r>
          <w:r w:rsidDel="00000000" w:rsidR="00000000" w:rsidRPr="00000000">
            <w:rPr>
              <w:rtl w:val="1"/>
            </w:rPr>
            <w:t xml:space="preserve">, </w:t>
          </w:r>
          <w:r w:rsidDel="00000000" w:rsidR="00000000" w:rsidRPr="00000000">
            <w:rPr>
              <w:rtl w:val="1"/>
            </w:rPr>
            <w:t xml:space="preserve">ניהול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והיערכות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תשפ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א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84200" cy="6985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na.education.gov.il" TargetMode="External"/><Relationship Id="rId2" Type="http://schemas.openxmlformats.org/officeDocument/2006/relationships/hyperlink" Target="http://www.edu.gov.i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