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ז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לשונית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הבנה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איתור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מידע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פרשנות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והיסק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ממקור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בודד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ולאחזר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הקריאה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לרכוש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רחב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אסטרטגיות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לאיתור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ולאחזור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כתוב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סריקה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מהירה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זיהוי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מקדמי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ארגון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היעזרות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בכותרות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כותרות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ספרור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תוכן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עניינים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מפתוח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נושאי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הדגשים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זיהוי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בולטים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והבנת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תפקידם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ותשובה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הסבר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נימוק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הגדרה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דוגמה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והסתמכות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חזותיים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וגרפים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ולבחור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ביניהן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בגמישות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למטרות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הקריאה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לימודיים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ואישיים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לבחירתם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ולסיבותיה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מטרת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רעיונותיו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המרכזיים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לקרוא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מנוקדים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ממגוון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הסוגות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הנלמדות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בגילים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הרלוונטיים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בישראל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ומארצות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אחרות</w:t>
            </w:r>
            <w:r w:rsidDel="00000000" w:rsidR="00000000" w:rsidRPr="00000000">
              <w:rPr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לשחזר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רכיבי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העלילה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הסיבתיות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ולספק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פרשנות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לפעולות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למצבם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המנטלי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למסור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הרעיון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המרכזי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התומכים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ביניהם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מתכתבים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הטקסט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לפעול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בסימני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פיסוק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עיקריים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כסמנים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לארגון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הטקסט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נקודה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פסיק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נקודה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פסיק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סימן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קריאה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סימן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שלוש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נקודות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מירכאות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קו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וקו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מפריד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ומלווה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מעמיקה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העוסקים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מופשטים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ומורכבים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בתיווך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מעמיקה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ארכאית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תורה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גבוהה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פרוזה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שירה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סוגות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ייחודיות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מתמטיקה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הדורשת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ואוצר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ייחודי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היסטוריה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מדעים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מטרת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השיח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הנשמע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ולבקש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הסברים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הבהרות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והרחבות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לפי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מונולוגי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חברתיים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ולימודיים</w:t>
            </w:r>
            <w:r w:rsidDel="00000000" w:rsidR="00000000" w:rsidRPr="00000000">
              <w:rPr>
                <w:rtl w:val="1"/>
              </w:rPr>
              <w:t xml:space="preserve">:  </w:t>
            </w:r>
            <w:r w:rsidDel="00000000" w:rsidR="00000000" w:rsidRPr="00000000">
              <w:rPr>
                <w:rtl w:val="1"/>
              </w:rPr>
              <w:t xml:space="preserve">הרצאות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ספרות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היסטוריה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וחברה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הוראות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מורכבות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המשלבים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והיבטים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היפותטיים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הסכמה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לשאול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הבהרות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חוסר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הסכמה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ולחדד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הנחיה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המורה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הורה</w:t>
            </w:r>
          </w:p>
        </w:tc>
      </w:tr>
    </w:tbl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הבנה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איתור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מידע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,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פרשנות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והיסק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ממקורות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מרובים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לאתר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לפרש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ולהשוות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ממקורות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טקסטואליים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דבורים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וכתובים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לעמת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דומים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לנסח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מורכבת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השנוי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במחלוקת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מאורגנת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אינטגרציה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לרבות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המופיע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ועיוניים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דיגיטליים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ומודפסים</w:t>
            </w:r>
          </w:p>
        </w:tc>
      </w:tr>
    </w:tbl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הבנה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הערכה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לבחון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באופן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ביקורתי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הדבור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הכתוב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לייצג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פנימיים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סיפורי</w:t>
            </w:r>
            <w:r w:rsidDel="00000000" w:rsidR="00000000" w:rsidRPr="00000000">
              <w:rPr>
                <w:rtl w:val="1"/>
              </w:rPr>
              <w:t xml:space="preserve">  </w:t>
            </w:r>
            <w:r w:rsidDel="00000000" w:rsidR="00000000" w:rsidRPr="00000000">
              <w:rPr>
                <w:rtl w:val="1"/>
              </w:rPr>
              <w:t xml:space="preserve">ולחשוב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אפשרויות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נוספות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הטקסט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הפואנטה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המרכזית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ולבחון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מהלכי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בהשוואה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אחרים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במלכודת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השכנוע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שכנועי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ולהפריד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האדם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התנהגויותיו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מעמדו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החברתי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שהוא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מבטא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המרכזית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המשניים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ולחוות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העקביות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ההקפדה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בפיתוח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הטיעונים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להיעזר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להפריך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השערות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ומדעי</w:t>
            </w:r>
          </w:p>
        </w:tc>
      </w:tr>
    </w:tbl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הפקה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הבעה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בכתב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להפיק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טקסט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רלוונטי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אינפורמטיבי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ולכיד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קוהרנטי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לסוגה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הכתיבה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ולנמענים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להבחין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סוגות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יסודות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רלוונטיים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כמו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עיונית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סיפורי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סיפורי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מעניין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וסגיר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ומפורטים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הכולל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פרשנות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המסבירה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המנטליים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והמניעים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הגיבורים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המפגין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לעיתים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משוואה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ולפתח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המשוואה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הטקסט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קונקרטי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יהיו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משמעות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מופשטת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יותר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לכתוב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המפגין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רעיונות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ולעיתים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תכנים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עצמאיים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מקצתם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מפותחים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פתיח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ולרוב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סגיר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להתנסות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בכתיבה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ובקריאה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טקסטים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יכולת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הכתיבה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לארגן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הסוגה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הרלוונטית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היעזרות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בהדרכה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ברכיבים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מופשטת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בעיקר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העיוני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ובטקסט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המידע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שמות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מופשטים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ביטויים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היפותטיים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מנטליות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ברכיבים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אחדים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ציורית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דימויים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מטפורות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פתגמים</w:t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הפקה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: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הבעה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בעל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-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פה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להציג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קהל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בצורה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קולחת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וברורה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בשילוב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אמצעים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רטוריים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למטרה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התקשורתית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ולנמענים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אגב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שימוש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תקשורתי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ובעזרים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הולמים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מוכר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ולמבוגרים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ומאורגנת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במסגרת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קצרה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אגב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היוועצות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אחראית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במקורות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אמינים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הממוזגים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ולנמק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לשאוף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להצלחה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בקרב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המטרה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בחלקים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באמצעי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עזר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שיסייעו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ולהפנים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אותו</w:t>
            </w:r>
            <w:r w:rsidDel="00000000" w:rsidR="00000000" w:rsidRPr="00000000">
              <w:rPr>
                <w:rtl w:val="1"/>
              </w:rPr>
              <w:t xml:space="preserve">; 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בעלות</w:t>
            </w:r>
            <w:r w:rsidDel="00000000" w:rsidR="00000000" w:rsidRPr="00000000">
              <w:rPr>
                <w:rtl w:val="1"/>
              </w:rPr>
              <w:t xml:space="preserve">" (</w:t>
            </w:r>
            <w:r w:rsidDel="00000000" w:rsidR="00000000" w:rsidRPr="00000000">
              <w:rPr>
                <w:rtl w:val="1"/>
              </w:rPr>
              <w:t xml:space="preserve">ידע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מבוסס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ובהיר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ולהפגין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אחריות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הדבור</w:t>
            </w:r>
            <w:r w:rsidDel="00000000" w:rsidR="00000000" w:rsidRPr="00000000">
              <w:rPr>
                <w:rtl w:val="1"/>
              </w:rPr>
              <w:t xml:space="preserve"> – </w:t>
            </w:r>
            <w:r w:rsidDel="00000000" w:rsidR="00000000" w:rsidRPr="00000000">
              <w:rPr>
                <w:rtl w:val="1"/>
              </w:rPr>
              <w:t xml:space="preserve">לגלות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לצרכים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התקשורתיים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ההצגה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לתקן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כשלים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ובאמצעים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רטוריים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מעניינים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המאזינים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להשתתף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כיתתי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לענות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פרספקטיבות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ולהצדיק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להתבונן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מבחוץ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בהיצג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עצמה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לבחון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הכשלים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שקרו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לקבל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ביקורת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מסוגים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ולהפנים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בהתנסויות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הבאות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להשתתף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בשיחה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בדיון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בהתאם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למוסכמות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השיח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למשלב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הלשוני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ולמטרות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התקשורת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;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לתאר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מחשבות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רעיונות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רגשות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ועמדות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לנסח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הסברים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לאירועים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בצורה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בהירה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וקולחת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לקחת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חלק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פעיל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ספונטנית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ובדיונים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בסיטואציות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מגוונות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למשלב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הלשוני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וברגישות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לתפקידי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לחילופי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ולכוונות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התקשורתיות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הולמת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ליזום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נושאי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חדשים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ולשמור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עליהם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לאורך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זמן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במהלך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השיחה</w:t>
            </w:r>
            <w:r w:rsidDel="00000000" w:rsidR="00000000" w:rsidRPr="00000000">
              <w:rPr>
                <w:rtl w:val="1"/>
              </w:rPr>
              <w:t xml:space="preserve">,  </w:t>
            </w:r>
            <w:r w:rsidDel="00000000" w:rsidR="00000000" w:rsidRPr="00000000">
              <w:rPr>
                <w:rtl w:val="1"/>
              </w:rPr>
              <w:t xml:space="preserve">לעבור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קונקרטי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הנעשה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מופשט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המוקדש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לאירועים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ולמצבים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מרוחקים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והיפותטיים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להגיב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לנקודות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ולהביע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לגביהן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להסביר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עמדות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מנומקת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ובהירה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היטב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כשלים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תקשורתיים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בשיחה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לתקן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השיחה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בצורה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קולחת</w:t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6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