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אתיקה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ומוגנות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אחריות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למניעת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פגיעה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באחרים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ההיבטים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החוקיים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והאתיים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לזכויות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הגנת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הפרטיות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רוחני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חופש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חופש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הביטוי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המאפיינים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הייחודיים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לבריונות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אנונימיות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ומהירות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הפצה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עקבות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לשליטה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העקבות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שגולשת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משאירה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לרשת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לסכנות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בטיחות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מתקדמים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ומגוונים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לאבטחת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גיבויים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עדכוני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במכשיר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בענן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הציבורי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המקוון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אסטרטגיות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להתגוננות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להימנעות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אמצעי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נוזקות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אצבע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להבחנה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בטוחים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לאבטחת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והמכשיר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האישי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להתקין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יישומים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תוספים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בלבד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בסיסמאות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חזקות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ולהחליף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סיסמה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לעתים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קרובות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ערוצי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ומנגנוני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ומחוצה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במקרה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איום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לדווח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מוסמך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פגיעה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הספר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ומכבד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ולהקפיד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המשמעות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התכתבות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בקבוצה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להקפיד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תרומה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הקבוצתי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להימנע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מהערות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לצמצם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והתגובות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למינימום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המקובל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רגישים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ופרטיים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זכויות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יוצרים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גניבה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ספרותית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פלגיאט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חוקיות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ביצירה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שאינן</w:t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צריכה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ויצירה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של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תוכן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במדיה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הדיגיטלית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להעריך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האיכות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האמינות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זיהוי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המאפיינים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הנמסר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החברתיים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הפוליטיים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והתרבותיים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לנתח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המילוליים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החזותיים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והקוליים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המתווכים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במדיה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מולטימדיה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ואינפוגרפיקה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המחברת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כוונותיה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ערכיה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להתמצא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המקוון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מאפייני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ושיטות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עדכניות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המיועדות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עדכון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שוטף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RSS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תוכן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מולטימדיה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לקדם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תקשורת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בינאישית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וקבוצתית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ולהעביר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יעיל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ומותאם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לצרכים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לייצר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ייצוגי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ואופנויות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תרשימים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גרפים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הייצוגים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להערכה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עצמאית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הצרכים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פלטפורמות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מתאימות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להצגה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ולהפצה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במטרות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ובנסיבות</w:t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שיתופיות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שותפים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פוטנציאליים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מגוונים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עניין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תפוצה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פורומים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למשימה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ולצורך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בהקשרי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למידה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ופנאי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הממשית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ולגלות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ולהשלכות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ההתבטאות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וההצגה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העצמית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הדיגיטלי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בחוקים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ובנורמות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תנאי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השימוש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הגדרות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פרטיות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ובהבנה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הלחצים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ברשת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קשרים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חברתיים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ומקצועיים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ולתחזקם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ערוצי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דוא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קהילות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בהתחשב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ובחסרונות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ובהקפדה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כבוד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וענייניות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ורעיונות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ולקחת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חלק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ביצירה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באמצעות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לעקוב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שינויים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וגרסאות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מסמכים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משותפים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ולצריכת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Web</w:t>
            </w:r>
            <w:r w:rsidDel="00000000" w:rsidR="00000000" w:rsidRPr="00000000">
              <w:rPr>
                <w:rtl w:val="1"/>
              </w:rPr>
              <w:t xml:space="preserve"> 2.0 </w:t>
            </w:r>
            <w:r w:rsidDel="00000000" w:rsidR="00000000" w:rsidRPr="00000000">
              <w:rPr>
                <w:rtl w:val="1"/>
              </w:rPr>
              <w:t xml:space="preserve">ולדעת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ביעילות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לשתף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לספק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הרשאות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לתייג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איסוף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יצירה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ועריכה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טכנולוגיים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ויישומים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מסרונים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דוא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תיקייה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בענן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קוד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ולהתאים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הכלי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יישום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להקשר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היעד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למטרה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ולסוג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הנדון</w:t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תפעול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ופתרון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בעיות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ביישומים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דיגיטליים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ובממשקים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היישום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תוכנה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המתאימים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מסוימת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חברתית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קובצי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וידיאו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קובצי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שמע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במצגת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צילום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העלאת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ועריכה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ביישום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סרגלי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ניווט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ולחצני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המאפשרת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תצוגה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היררכית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וניווט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שקופיות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מתמונות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סטילס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לרבות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הוספת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מעברים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וקביעת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עריכת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הוספת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וקול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מיזוג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קטעים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הוספת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וכולי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סרטים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ייעודיות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יצירת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היצגי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מולטימדיה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קומיקס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הנפשה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אווטר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וכולי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כתיבה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ויקי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מסמכים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משותפים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אתרים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בלוגים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ועוד</w:t>
            </w:r>
            <w:r w:rsidDel="00000000" w:rsidR="00000000" w:rsidRPr="00000000">
              <w:rPr>
                <w:rtl w:val="1"/>
              </w:rPr>
              <w:t xml:space="preserve">(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ביעילות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בסביבות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עבודה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ובענן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בהתנהלות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השוטפת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ולעצב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  <w:t xml:space="preserve">adapt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customize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הדיגיטלית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במכשירים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המקוון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התאמת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תצוגה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ואפשרויות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באתרים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ורגישות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עכבר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מגע</w:t>
            </w:r>
            <w:r w:rsidDel="00000000" w:rsidR="00000000" w:rsidRPr="00000000">
              <w:rPr>
                <w:rtl w:val="1"/>
              </w:rPr>
              <w:t xml:space="preserve">(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להעלות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לגבות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ולהוריד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מהתקנים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חיצוניים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ומהרשת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מרחוק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הרשמה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השתתפות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מילוי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משימות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תקשורת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עמיתות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עמיתים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במחוונים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להערכת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עמיתים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משותפת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ויישומיים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מובנים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רכיבי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חומרה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ותוכנות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לעבור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גמיש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וממשקים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ולתפעל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חיצוניים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סורק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מצלמה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מדפסת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להתקין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ולהסיר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ויישומים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לשנות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הגדרות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חיצוניים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העלאת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קובצי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מסמכים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וידיאו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מצלמה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סורק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התקן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נייד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חומרים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בהתקנים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חיצוניים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בכונן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ובענן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ללמוד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עצמאי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ברשת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המושג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הסחת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הדעת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בסביבת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בטקטיקות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להפחיתה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סימולציות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אינטראקטיביות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המצריכות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מיומנויות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מתקדמות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פיצול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תשומת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ותרגול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מוצלח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זמניות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לגיל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פריטים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וירטואלי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ניהול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וידיאו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בלמידה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יישומים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תוכנות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שיתופיות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מבוססי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במכשיר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נייד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בקורסים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MOOC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בסיסיות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ברכיבי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חומרה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ובתוכנות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במכשירים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ובסביבות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חיצוניים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למצוא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פתרונות</w:t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