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גלובלית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אחריות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גלובלית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ההיבטים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החיוניים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המקיימים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אותנו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פיזי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ותרבותי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זמן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הגומלין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תהליכים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ומהלכים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סביבתיים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וכלכליים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לוקליים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הגלובליים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ואכפתיות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החברה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והסביבה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הלוקלית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והגלובלית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לאמץ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אורח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ולפעול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לשינוי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גלובליות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הגומלין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גלובליים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לאומיים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ולוקליים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הקיימות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סביבתיים</w:t>
            </w:r>
            <w:r w:rsidDel="00000000" w:rsidR="00000000" w:rsidRPr="00000000">
              <w:rPr>
                <w:rtl w:val="1"/>
              </w:rPr>
              <w:t xml:space="preserve">  </w:t>
            </w:r>
            <w:r w:rsidDel="00000000" w:rsidR="00000000" w:rsidRPr="00000000">
              <w:rPr>
                <w:rtl w:val="1"/>
              </w:rPr>
              <w:t xml:space="preserve">לוקליים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לאומיים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וגלובליים</w:t>
            </w:r>
            <w:r w:rsidDel="00000000" w:rsidR="00000000" w:rsidRPr="00000000">
              <w:rPr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ולעסוק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סביבתיות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לוקליות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לאומיות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וגלובליות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לבחון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ביקורתי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ההשלכות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הזדמנויות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למעורבות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אקטיביזם</w:t>
            </w:r>
            <w:r w:rsidDel="00000000" w:rsidR="00000000" w:rsidRPr="00000000">
              <w:rPr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השלכותיו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האקלים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בטמפרטורות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התפשטות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ממושכות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מחסור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במזון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התרחבות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העוני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במפלס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שיטפונות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והצפות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ולהיות</w:t>
            </w:r>
            <w:r w:rsidDel="00000000" w:rsidR="00000000" w:rsidRPr="00000000">
              <w:rPr>
                <w:rtl w:val="1"/>
              </w:rPr>
              <w:t xml:space="preserve">  </w:t>
            </w:r>
            <w:r w:rsidDel="00000000" w:rsidR="00000000" w:rsidRPr="00000000">
              <w:rPr>
                <w:rtl w:val="1"/>
              </w:rPr>
              <w:t xml:space="preserve">מעורבים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לצמצומו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התנהלות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רב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תרבותית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להתייחס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בכבוד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לסביבה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החברתית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ולנורמות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הנהוגות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לתקשר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חיובי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מרקעים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תרבותיים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רגישות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להבדלים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ובנכונות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מעמיק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ומכבד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חברתיים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תרבותיים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וליישב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קונפליקטים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הנובעים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מפערים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תרבותיים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שעלולים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קונפליקטים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רגישות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הבדלים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נרטיבים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והכרה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בנקודת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הרגשות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והתפיסות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ממנה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לרב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לשוניות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לחשיבות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הציבורי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לשלוט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נוספות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מלבד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האם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וביטויים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המדוברות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הקרובה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הדומה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והשונה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שפות</w:t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מודעות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גלובלית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לבקר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סטריאוטיפים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והכללות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הקוגניטיביים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הרגשיים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והסביבתיים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להתפתחותם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סטריאוטיפים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קדומות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ליחידים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הכרוכות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בהכללות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להטיל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בהכללות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וחקירה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השקפות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עולם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ומאפיינים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תרבותיים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מרקעים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סקרנות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פתיחות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ואמפתיה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אנשים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ותרבויות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תרבויות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בערכו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תרבותי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במצבם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תרבותית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ובנקודת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היבטים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כלכליים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פוליטיים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ומצוקות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