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w:anchor="gjdgxs">
        <w:r w:rsidDel="00000000" w:rsidR="00000000" w:rsidRPr="00000000">
          <w:rPr>
            <w:rtl w:val="0"/>
          </w:rPr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1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/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ביקורתית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0j0zll">
        <w:r w:rsidDel="00000000" w:rsidR="00000000" w:rsidRPr="00000000">
          <w:rPr>
            <w:rtl w:val="0"/>
          </w:rPr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1.1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כל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המיומנויות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לגילי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fob9te">
        <w:r w:rsidDel="00000000" w:rsidR="00000000" w:rsidRPr="00000000">
          <w:rPr>
            <w:rtl w:val="0"/>
          </w:rPr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1.1.1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znysh7">
        <w:r w:rsidDel="00000000" w:rsidR="00000000" w:rsidRPr="00000000">
          <w:rPr>
            <w:rtl w:val="0"/>
          </w:rPr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1.1.2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et92p0">
        <w:r w:rsidDel="00000000" w:rsidR="00000000" w:rsidRPr="00000000">
          <w:rPr>
            <w:rtl w:val="0"/>
          </w:rPr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1.1.3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tyjcwt">
        <w:r w:rsidDel="00000000" w:rsidR="00000000" w:rsidRPr="00000000">
          <w:rPr>
            <w:rtl w:val="0"/>
          </w:rPr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1.1.4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הטלת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לחשוב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סמכות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השווים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לתהות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הצדקה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החלטות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וטענות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ולשאול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טוען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סמכא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מדובר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בהסבר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ביותר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בהינתן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שיפוט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להימנע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מגיבוש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לבירור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ההצדקות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למציאת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משכנעים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וההורים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אומרים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חושבים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נכון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לטעות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לסתירה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בדברי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ההורים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המורים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בעיתונים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בספרי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פירוט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הבהרה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לטענות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לעמדות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להסברים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מאליהם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הצדקות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האלה</w:t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להגדיר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תבחינים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קריטריונים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מתאימים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לבחון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מהימנות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רלוונטיות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ועדכניות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לעובדות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תעמולה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דמגוגיה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ומניפולציות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שאמינותם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תנודתית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ביבליומטריים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ציטוטים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מוגדרת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המבוססים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עובדות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המבוססים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פרשנות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ודעות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מוסווים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ומניפולציה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המסורתיים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והדיגיטליים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ללקונה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להשלכות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מכוונת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טיעון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ולהצדיקה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ההבדל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נובעת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תומכים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לוגיים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בטיעון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ולהצדיקה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מוגדרים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וביטויים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בגלל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וביטויים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מסקנות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מכאן</w:t>
            </w:r>
            <w:r w:rsidDel="00000000" w:rsidR="00000000" w:rsidRPr="00000000">
              <w:rPr>
                <w:rtl w:val="1"/>
              </w:rPr>
              <w:t xml:space="preserve">... </w:t>
            </w:r>
            <w:r w:rsidDel="00000000" w:rsidR="00000000" w:rsidRPr="00000000">
              <w:rPr>
                <w:rtl w:val="1"/>
              </w:rPr>
              <w:t xml:space="preserve">מתברר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... </w:t>
            </w:r>
            <w:r w:rsidDel="00000000" w:rsidR="00000000" w:rsidRPr="00000000">
              <w:rPr>
                <w:rtl w:val="1"/>
              </w:rPr>
              <w:t xml:space="preserve">לפיכך</w:t>
            </w:r>
            <w:r w:rsidDel="00000000" w:rsidR="00000000" w:rsidRPr="00000000">
              <w:rPr>
                <w:rtl w:val="1"/>
              </w:rPr>
              <w:t xml:space="preserve">...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למסקנות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לכן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היקשים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דדוקטיבי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אינדוקטיבי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היקש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להסבר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ביותר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סתירות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ההקשר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הדובר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האפשריות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הטיעוני</w:t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החלטות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דילמה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נקודות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מבט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פתרונות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לשאלה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תיאורטית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התיאורטיות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המעשיות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מהן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ולנטרל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שיקולים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קדומות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תחומי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ומומחים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ולהבחינם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משרלטנים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בעצות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מושכל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ההשלכות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המיידיות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התיאורטיות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המעשיות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להכרעה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מנומקת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בהתבסס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מוגדרת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להשוואה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פסיכולוגיות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עיוורון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wishful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thinking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וחיצוניות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סביבתיות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מחויבות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הטיית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האישור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להפחית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השפעתן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אינדיקטורים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למומחיות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אקדמי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תעודת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מקצוע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ניסיון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A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B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4C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33400" cy="571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– </w:t>
          </w:r>
          <w:r w:rsidDel="00000000" w:rsidR="00000000" w:rsidRPr="00000000">
            <w:rPr>
              <w:rtl w:val="1"/>
            </w:rPr>
            <w:t xml:space="preserve">מארז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תכנון</w:t>
          </w:r>
          <w:r w:rsidDel="00000000" w:rsidR="00000000" w:rsidRPr="00000000">
            <w:rPr>
              <w:rtl w:val="1"/>
            </w:rPr>
            <w:t xml:space="preserve">, </w:t>
          </w:r>
          <w:r w:rsidDel="00000000" w:rsidR="00000000" w:rsidRPr="00000000">
            <w:rPr>
              <w:rtl w:val="1"/>
            </w:rPr>
            <w:t xml:space="preserve">ניהול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והיערכות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תשפ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84200" cy="698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