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מתמטית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כמותית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הייצוגים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ואומדן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ופתרון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לסדר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ספרתיים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רציונאליים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שליליים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בהסתמך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הרציונאליים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שליליים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הנדרשות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לאמוד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לבעיה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ולבדוק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ההיתכנות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האומדן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נתונים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לאסוף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לארגן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גולמיים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ומעובדים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התופעה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הנחקרת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לעבד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סטטיסטיים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הסתברותית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מנתונים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גרפים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גרף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פיקטוגרמה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וכד</w:t>
            </w:r>
            <w:r w:rsidDel="00000000" w:rsidR="00000000" w:rsidRPr="00000000">
              <w:rPr>
                <w:rtl w:val="1"/>
              </w:rPr>
              <w:t xml:space="preserve">')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ממוצע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חציון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שכיח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תוצאות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מאחרים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אדומים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מכחולים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בתיק</w:t>
            </w:r>
            <w:r w:rsidDel="00000000" w:rsidR="00000000" w:rsidRPr="00000000">
              <w:rPr>
                <w:rtl w:val="1"/>
              </w:rPr>
              <w:t xml:space="preserve">, "</w:t>
            </w:r>
            <w:r w:rsidDel="00000000" w:rsidR="00000000" w:rsidRPr="00000000">
              <w:rPr>
                <w:rtl w:val="1"/>
              </w:rPr>
              <w:t xml:space="preserve">להוציא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כחול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באקראי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התוצאה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תוצאה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ניסוי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אקראי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עשויה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מהתוצאה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התוצאות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האפשריות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ניסויים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קובייה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הוגנים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שעשויים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הניצחון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הוגנת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שסבירות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נמצאת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וודאי</w:t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הפשטה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וייצוג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מופשט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מופשטים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המוחשי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למופשט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מהמקרה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הפרטי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משתנים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המספריים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קוטר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והיקף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מעגל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עשויים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להשתנות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ייצוג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מתמטיות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אלגבריות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גרפיות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טבלאיות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הפשטה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מוחשיות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דפוסים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חוקיות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ויחסי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מתמטיות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המבטאים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היחס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20:1), </w:t>
            </w:r>
            <w:r w:rsidDel="00000000" w:rsidR="00000000" w:rsidRPr="00000000">
              <w:rPr>
                <w:rtl w:val="1"/>
              </w:rPr>
              <w:t xml:space="preserve">לבטא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אחוזים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ביחס</w:t>
            </w:r>
            <w:r w:rsidDel="00000000" w:rsidR="00000000" w:rsidRPr="00000000">
              <w:rPr>
                <w:rtl w:val="1"/>
              </w:rPr>
              <w:t xml:space="preserve"> 1:1,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מייצג</w:t>
            </w:r>
            <w:r w:rsidDel="00000000" w:rsidR="00000000" w:rsidRPr="00000000">
              <w:rPr>
                <w:rtl w:val="1"/>
              </w:rPr>
              <w:t xml:space="preserve"> 1/2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50% </w:t>
            </w:r>
            <w:r w:rsidDel="00000000" w:rsidR="00000000" w:rsidRPr="00000000">
              <w:rPr>
                <w:rtl w:val="1"/>
              </w:rPr>
              <w:t xml:space="preserve">מהשלם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יומיים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להכפיל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במתכון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חשיבה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גיאומטרית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תכונות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למלבן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ארבע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זוויות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ישרות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טרנספורמציות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סימטריה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וחפיפה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לתיאור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ולהתמצאות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לתכונותיהן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במשולש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זווית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ההגדרה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גיאומטרית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לדמיין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אובייקטים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נראים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מפרספקטיבות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תלת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ממדיות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לשרטט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שיקופית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וסימטריה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סיבובית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לצייר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שרטוט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התמצאות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ידועות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נוכחי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למקם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ניסוח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מוסכמות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', 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סמ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ליטר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מידה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שעון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אנלוגי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ודיגיטלי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להמיר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דקות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שעות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יממות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תאריכים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שנה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