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אתיקה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ומוגנות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למניעת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פגיעה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באחרים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לעומת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מהצד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ובריונות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לנקוט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למנוע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עקבות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ההשלכות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החיוביות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והשליליות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העתקה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הפצה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חיפוש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לסכנות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בטיחות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סיסמאות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חזקות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ובטוחות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והחלפת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סיסמאות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לעיתים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קרובות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ובכניסה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להיפר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קישורים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ידוע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לצאת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ומשירותים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ספאם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דיוג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0"/>
              </w:rPr>
              <w:t xml:space="preserve">Phishing</w:t>
            </w:r>
            <w:r w:rsidDel="00000000" w:rsidR="00000000" w:rsidRPr="00000000">
              <w:rPr>
                <w:rtl w:val="1"/>
              </w:rPr>
              <w:t xml:space="preserve">], </w:t>
            </w:r>
            <w:r w:rsidDel="00000000" w:rsidR="00000000" w:rsidRPr="00000000">
              <w:rPr>
                <w:rtl w:val="1"/>
              </w:rPr>
              <w:t xml:space="preserve">התחזות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בריונות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ודרכי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התמודדות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נוזקות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להתקנת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ותוכנות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הגולשות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וברגישות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להבדלים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דוריים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הימנעות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מפרסום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והימנעות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מהפצת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אדם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רשותו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ביוש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1"/>
              </w:rPr>
              <w:t xml:space="preserve">שיימינג</w:t>
            </w:r>
            <w:r w:rsidDel="00000000" w:rsidR="00000000" w:rsidRPr="00000000">
              <w:rPr>
                <w:rtl w:val="1"/>
              </w:rPr>
              <w:t xml:space="preserve">]), </w:t>
            </w: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ההיפגעות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מכניסה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גזעני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פוגעני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ומיני</w:t>
            </w:r>
            <w:r w:rsidDel="00000000" w:rsidR="00000000" w:rsidRPr="00000000">
              <w:rPr>
                <w:rtl w:val="1"/>
              </w:rPr>
              <w:t xml:space="preserve">);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המושג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המשקיפים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האדישים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ולפעול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למניעת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משמעותם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השפעתם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תדמיתנו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יוצרים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פירוש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רוחני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ולהקפיד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קרדיט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רוחני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המושג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רוחני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בתכנים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ולהקפיד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לציין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קרדיט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ליוצרת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חופשי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לדווח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צריכה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ויצירה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תוכן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במדיה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הדיגיטלית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האיכות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האמינות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זיהוי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הנמסר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מניפולציה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שיווקי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תעמולת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בחירות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מושפעים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ומעוצבים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ההצגה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הלימודית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להתמצא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מאפייני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משמעותה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להתעדכן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ולעקוב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ומגוונים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ללמידה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מאגרי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מאגרי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אתרי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רשתות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(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תוכן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מולטימדיה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לקדם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יעיל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חזותי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וטקסטואלי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גרפים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תרשימים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מטריצות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המיטבי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למסירה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בהתחשב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ובחסרונות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גרף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איור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טבלה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מפה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דיאגרמה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תיאור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לנושא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יעד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ומוגדרים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וייצוגים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להצגה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הפצה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מסמך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כרזה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מצגת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התכנים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ההפצה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במטרות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בצרכים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ובמאפייני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והסוגה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ומוגדרים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שיתופיות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שותפים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פוטנציאליים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מגוונים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בהקשרי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ופנאי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הממשית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ההתבטאות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וההצגה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העצמית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מותאמת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לגיל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ומקצועיים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ניסוח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הסגנון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והתכנים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ולנמענים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חלק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ביצירה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ממוקדת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מכבדת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ומותאמת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למדיום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התקשורתי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מסמכים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מוגדרת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ויישומים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מסרונים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אלקטרוני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תיקייה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להתעניין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בדברי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תגובות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ממוקדות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תפעול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ופתרון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בעיות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ביישומים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ובממשקים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להתקין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שגרתי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עריכה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</w:t>
            </w:r>
            <w:r w:rsidDel="00000000" w:rsidR="00000000" w:rsidRPr="00000000">
              <w:rPr>
                <w:rtl w:val="1"/>
              </w:rPr>
              <w:t xml:space="preserve">') </w:t>
            </w:r>
            <w:r w:rsidDel="00000000" w:rsidR="00000000" w:rsidRPr="00000000">
              <w:rPr>
                <w:rtl w:val="1"/>
              </w:rPr>
              <w:t xml:space="preserve">במכשירים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עריכה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מתקדמת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כניסה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יישור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פסקה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מספור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תבליטים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כיוון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חיפוש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והחלפה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איתור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והחלפתן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טבלה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טבלה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בטבלה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ופריסה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הוספה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מחיקה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ועמודות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איתור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בספריות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תיקיות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הוספה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ועיצובה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היפר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בעזרת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סימניות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כותרת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עליונה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תחתונה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הוספה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עמוד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לוחות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שיתוף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ויקי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ביעילות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בסביבות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ובענן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בהתנהלות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השוטפת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לעיצוב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קיצורי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מועדפים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וברשת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להמיר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קובץ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שונה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כיתתי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להעלות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מטלות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מסמכים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טפסים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ויצירה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הורדת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למחשב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ענן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חשיבה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במסמכים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ובעבודות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להעתיק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ולהדביק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היפר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להוריד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כקובץ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בפורמט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בעכבר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פנימי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נייד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המקלדת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אותיות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קטנות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וגדולות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באנגלית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סימנים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הקבצים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והתיקיות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תיקייה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תת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תיקייה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תיקייה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תיקייה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מחיקת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תיקייה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לארגן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שולחן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עבודה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ארגון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שכיחים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בשולחן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קובץ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בתיקייה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פתיחת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קובץ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קובץ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הדפסת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מסמך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הכרת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המחזור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ותפעולו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ובהפעלה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החסן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נייד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הפעלה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שמירת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ניתוק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והוצאה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לתפעל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סימולציות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המצריכות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מיומנויות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מתקדמות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פיצול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ותרגול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מוצלח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זמניות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multitasking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לשיעורים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סינכרוניים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בפלטפורמות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ולהתנהל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מרחוק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להירשם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בסיסיות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שגרתיות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אביזריהם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במדפסת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