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/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rtl w:val="0"/>
          </w:rPr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1.1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כל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המיומנויות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לגילי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החיוניים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המקיימים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פיזי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זמן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הגומלין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תהליכים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ומהלכים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סביבתיים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וכלכליים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לוקליים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הגלובליים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ואכפתיות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הלוקלית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והגלובלית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לאמץ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אורח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לשינוי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גלובליות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המוסדות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הפועלים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הגלובלית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האו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הבינלאומי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האיחוד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האירופאי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האתגרים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הלוקליים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והגלובליים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והקשרים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שינויי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אקלים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אנרגיה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ירוקה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מגפות</w:t>
            </w:r>
            <w:r w:rsidDel="00000000" w:rsidR="00000000" w:rsidRPr="00000000">
              <w:rPr>
                <w:rtl w:val="1"/>
              </w:rPr>
              <w:t xml:space="preserve">) 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צדק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שוויון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האתגרים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הלוקליים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והגלובליים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כלכליים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רעב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עוני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-</w:t>
            </w:r>
            <w:r w:rsidDel="00000000" w:rsidR="00000000" w:rsidRPr="00000000">
              <w:rPr>
                <w:rtl w:val="1"/>
              </w:rPr>
              <w:t xml:space="preserve">שוויון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בחשיבות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אינדיבידואליות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וקולקטיביות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הלוקלי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והלאומי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ולקחת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תרבותית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להתייחס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בכבוד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ולנורמות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הנהוגות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מתרבויות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וירטואלי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ומחוצה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הנובעים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מפערים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קונפליקטים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לנבוע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מהבדלים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ליישבם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ולהקשיב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להקשיב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מיטבי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המציגות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לשוניות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מאפייניהן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משפחות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עיצוריהן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סקרנות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כלפיהן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לילדים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לתרגום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Translate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לבקר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סטריאוטיפים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והכללות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המשמעות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סטריאוטיפים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קדומות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ועקיף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ילדים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שנפגעו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פועלים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בהסתמך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לשאול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סטריאוטיפיות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השקפות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מרקעים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סקרנות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פתיחות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ואמפתיה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המשותף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בארץ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ובעולם</w:t>
            </w:r>
            <w:r w:rsidDel="00000000" w:rsidR="00000000" w:rsidRPr="00000000">
              <w:rPr>
                <w:rtl w:val="1"/>
              </w:rPr>
              <w:t xml:space="preserve"> +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הזדמנויות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באינטראקציות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0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1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42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